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754"/>
        <w:gridCol w:w="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exact"/>
        </w:trPr>
        <w:tc>
          <w:tcPr>
            <w:tcW w:w="11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rPr>
                <w:rFonts w:ascii="Times New Roman" w:hAnsi="Times New Roman" w:eastAsia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1380490" cy="1184275"/>
                  <wp:effectExtent l="19050" t="0" r="0" b="0"/>
                  <wp:wrapTopAndBottom/>
                  <wp:docPr id="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5"/>
              <w:spacing w:line="200" w:lineRule="atLeast"/>
              <w:ind w:left="124" w:hanging="124"/>
              <w:rPr>
                <w:rFonts w:ascii="Times New Roman" w:hAnsi="Times New Roman" w:eastAsia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before="60" w:after="60"/>
              <w:ind w:left="1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Силабус</w:t>
            </w:r>
            <w:r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навчальної</w:t>
            </w:r>
            <w:r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  <w:p>
            <w:pPr>
              <w:pStyle w:val="25"/>
              <w:spacing w:before="2" w:line="275" w:lineRule="exact"/>
              <w:ind w:left="1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«СУЧАСНІ СИСТЕМИ ТЕХНІЧНОГО РЕГУЛЮВАННЯ»</w:t>
            </w:r>
          </w:p>
          <w:p>
            <w:pPr>
              <w:pStyle w:val="25"/>
              <w:tabs>
                <w:tab w:val="left" w:pos="2814"/>
                <w:tab w:val="left" w:pos="6431"/>
              </w:tabs>
              <w:spacing w:before="60" w:after="60"/>
              <w:ind w:left="136" w:right="17"/>
              <w:rPr>
                <w:rFonts w:ascii="Times New Roman" w:hAnsi="Times New Roman"/>
                <w:b/>
                <w:spacing w:val="39"/>
                <w:w w:val="99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Освітньо-професійної</w:t>
            </w:r>
            <w:r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програми</w:t>
            </w:r>
            <w:r>
              <w:rPr>
                <w:rFonts w:ascii="Times New Roman" w:hAnsi="Times New Roman"/>
                <w:b/>
                <w:spacing w:val="-1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u w:val="single" w:color="000000"/>
                <w:lang w:val="uk-UA"/>
              </w:rPr>
              <w:t>Якість, стандартизація та сертифікація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  <w:r>
              <w:rPr>
                <w:rFonts w:ascii="Times New Roman" w:hAnsi="Times New Roman"/>
                <w:b/>
                <w:spacing w:val="39"/>
                <w:w w:val="99"/>
                <w:sz w:val="24"/>
                <w:lang w:val="uk-UA"/>
              </w:rPr>
              <w:t xml:space="preserve"> </w:t>
            </w:r>
          </w:p>
          <w:p>
            <w:pPr>
              <w:pStyle w:val="25"/>
              <w:tabs>
                <w:tab w:val="left" w:pos="2814"/>
                <w:tab w:val="left" w:pos="6431"/>
              </w:tabs>
              <w:spacing w:before="60" w:after="60"/>
              <w:ind w:left="136" w:right="17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Галузь</w:t>
            </w:r>
            <w:r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знань:</w:t>
            </w:r>
            <w:r>
              <w:rPr>
                <w:rFonts w:ascii="Times New Roman" w:hAnsi="Times New Roman"/>
                <w:spacing w:val="-1"/>
                <w:sz w:val="24"/>
                <w:u w:val="single" w:color="000000"/>
                <w:lang w:val="uk-UA"/>
              </w:rPr>
              <w:t xml:space="preserve"> 15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>
              <w:rPr>
                <w:rFonts w:ascii="Times New Roman" w:hAnsi="Times New Roman"/>
                <w:sz w:val="24"/>
                <w:u w:val="single" w:color="000000"/>
                <w:lang w:val="uk-UA"/>
              </w:rPr>
              <w:t>Автоматизація та приладобудування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  <w:p>
            <w:pPr>
              <w:pStyle w:val="25"/>
              <w:tabs>
                <w:tab w:val="left" w:pos="2463"/>
                <w:tab w:val="left" w:pos="6545"/>
              </w:tabs>
              <w:spacing w:before="60" w:after="60"/>
              <w:ind w:left="136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  <w:lang w:val="uk-UA"/>
              </w:rPr>
              <w:t>Спеціальність:</w:t>
            </w:r>
            <w:r>
              <w:rPr>
                <w:rFonts w:ascii="Times New Roman" w:hAnsi="Times New Roman"/>
                <w:spacing w:val="-1"/>
                <w:w w:val="95"/>
                <w:sz w:val="24"/>
                <w:u w:val="single" w:color="000000"/>
                <w:lang w:val="uk-UA"/>
              </w:rPr>
              <w:t xml:space="preserve"> 152  </w:t>
            </w:r>
            <w:r>
              <w:rPr>
                <w:rFonts w:ascii="Times New Roman" w:hAnsi="Times New Roman"/>
                <w:b/>
                <w:w w:val="95"/>
                <w:sz w:val="24"/>
                <w:lang w:val="uk-UA"/>
              </w:rPr>
              <w:t>«</w:t>
            </w:r>
            <w:r>
              <w:rPr>
                <w:rFonts w:ascii="Times New Roman" w:hAnsi="Times New Roman"/>
                <w:w w:val="95"/>
                <w:sz w:val="24"/>
                <w:u w:val="single" w:color="000000"/>
                <w:lang w:val="uk-UA"/>
              </w:rPr>
              <w:tab/>
            </w:r>
            <w:r>
              <w:rPr>
                <w:rFonts w:ascii="Times New Roman" w:hAnsi="Times New Roman"/>
                <w:w w:val="95"/>
                <w:sz w:val="24"/>
                <w:u w:val="single" w:color="000000"/>
                <w:lang w:val="uk-UA"/>
              </w:rPr>
              <w:t>Метрологія та інформаційно-вимірювальна техніка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4" w:lineRule="exact"/>
              <w:ind w:left="104" w:right="482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Рівень</w:t>
            </w:r>
            <w:r>
              <w:rPr>
                <w:rFonts w:ascii="Times New Roman" w:hAnsi="Times New Roman"/>
                <w:b/>
                <w:spacing w:val="-6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вищої</w:t>
            </w:r>
            <w:r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освіти</w:t>
            </w:r>
            <w:r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  <w:t xml:space="preserve"> 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jc w:val="center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pacing w:val="-1"/>
                <w:lang w:eastAsia="en-US"/>
              </w:rPr>
              <w:t>Другий (магістерський)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Статус</w:t>
            </w:r>
            <w:r>
              <w:rPr>
                <w:rFonts w:ascii="Times New Roman" w:hAnsi="Times New Roman"/>
                <w:b/>
                <w:spacing w:val="-2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37" w:lineRule="auto"/>
              <w:ind w:left="104" w:right="6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uk-UA"/>
              </w:rPr>
              <w:t>Навчальна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uk-UA"/>
              </w:rPr>
              <w:t>дисципліна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uk-UA"/>
              </w:rPr>
              <w:t>фахового</w:t>
            </w:r>
            <w:r>
              <w:rPr>
                <w:rFonts w:ascii="Times New Roman" w:hAnsi="Times New Roman" w:eastAsia="Times New Roman" w:cs="Times New Roman"/>
                <w:spacing w:val="75"/>
                <w:w w:val="99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компонента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uk-UA"/>
              </w:rPr>
              <w:t>ОП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Курс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37" w:lineRule="auto"/>
              <w:ind w:left="104" w:right="623"/>
              <w:jc w:val="center"/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  <w:t>1 курс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Семестр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37" w:lineRule="auto"/>
              <w:ind w:left="104" w:right="623"/>
              <w:jc w:val="center"/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  <w:t>Перший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4" w:lineRule="exact"/>
              <w:ind w:left="104" w:right="68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Обсяг</w:t>
            </w:r>
            <w:r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дисципліни,</w:t>
            </w:r>
            <w:r>
              <w:rPr>
                <w:rFonts w:ascii="Times New Roman" w:hAnsi="Times New Roman"/>
                <w:b/>
                <w:spacing w:val="29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кредити</w:t>
            </w:r>
            <w:r>
              <w:rPr>
                <w:rFonts w:ascii="Times New Roman" w:hAnsi="Times New Roman"/>
                <w:b/>
                <w:spacing w:val="-2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ЄКТС/години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37" w:lineRule="auto"/>
              <w:ind w:left="104" w:right="623"/>
              <w:jc w:val="center"/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  <w:t>105/3,5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Мова</w:t>
            </w:r>
            <w:r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викладання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37" w:lineRule="auto"/>
              <w:ind w:left="104" w:right="623"/>
              <w:jc w:val="center"/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uk-UA"/>
              </w:rPr>
              <w:t>Українська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6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4" w:lineRule="exact"/>
              <w:ind w:left="104" w:right="642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2"/>
                <w:sz w:val="24"/>
                <w:lang w:val="uk-UA"/>
              </w:rPr>
              <w:t>Що</w:t>
            </w:r>
            <w:r>
              <w:rPr>
                <w:rFonts w:ascii="Times New Roman" w:hAnsi="Times New Roman"/>
                <w:b/>
                <w:spacing w:val="-13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буде</w:t>
            </w:r>
            <w:r>
              <w:rPr>
                <w:rFonts w:ascii="Times New Roman" w:hAnsi="Times New Roman"/>
                <w:b/>
                <w:spacing w:val="-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вивчатися</w:t>
            </w:r>
            <w:r>
              <w:rPr>
                <w:rFonts w:ascii="Times New Roman" w:hAnsi="Times New Roman"/>
                <w:b/>
                <w:spacing w:val="23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(предмет</w:t>
            </w:r>
            <w:r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вивчення)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ind w:left="102" w:right="62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Система технічного регулювання в Україні. Міжнародні та регіональні організації  Правові основи  технічного регулювання. Технічне регулювання в країнах світу. Міжнародні стандарти на системи управління якістю і безпечністю продукції, процесів, послуг. Національна стандартизація. Організаційні засади стандартизації. Стандартизація в різних сферах. Організація робіт зі стандартизації. Стандартизація в зарубіжних країнах, технічного регулювання в Європейському Союзі. Законодавча метрологія. Метрологічна система України. Забезпечення єдності вимірювань в Україні. Метрологічний нагляд. Повірка та калібрування засобів вимірювальної техніки. Оцінка відповідності та акредитація. Міжнародні вимоги щодо оцінювання відповідності. Організаційно-методичні засади сертифікації. Акредитація органів з сертифікації і випробувальних лабораторій та Угоди про визнання. Державний нагляд та контроль. Основні принципи ринкового нагляду і контролю нехарчової продукції. Ступінь ризику від провадження господарської діяльності та проведення планових заходів державного нагляду нехарчової продукції. Ступінь ризику від провадження господарської діяльності та проведення планових заходів державного нагляду продукції в Агропромисловому комплексі. Правові  основи  захисту  прав  споживачів.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4" w:lineRule="exact"/>
              <w:ind w:left="104" w:right="821"/>
              <w:rPr>
                <w:rFonts w:ascii="Times New Roman" w:hAnsi="Times New Roman"/>
                <w:b/>
                <w:sz w:val="24"/>
                <w:lang w:val="uk-UA"/>
              </w:rPr>
            </w:pPr>
          </w:p>
          <w:p>
            <w:pPr>
              <w:pStyle w:val="25"/>
              <w:spacing w:line="274" w:lineRule="exact"/>
              <w:ind w:left="104" w:right="821"/>
              <w:rPr>
                <w:rFonts w:ascii="Times New Roman" w:hAnsi="Times New Roman"/>
                <w:b/>
                <w:sz w:val="24"/>
                <w:lang w:val="uk-UA"/>
              </w:rPr>
            </w:pPr>
          </w:p>
          <w:p>
            <w:pPr>
              <w:pStyle w:val="25"/>
              <w:spacing w:line="274" w:lineRule="exact"/>
              <w:ind w:left="104" w:right="821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Чому</w:t>
            </w:r>
            <w:r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це</w:t>
            </w:r>
            <w:r>
              <w:rPr>
                <w:rFonts w:ascii="Times New Roman" w:hAnsi="Times New Roman"/>
                <w:b/>
                <w:spacing w:val="-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цікаво/треба</w:t>
            </w:r>
            <w:r>
              <w:rPr>
                <w:rFonts w:ascii="Times New Roman" w:hAnsi="Times New Roman"/>
                <w:b/>
                <w:spacing w:val="26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вивчати</w:t>
            </w:r>
            <w:r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(мета)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  <w:p>
            <w:pPr>
              <w:pStyle w:val="25"/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Для виконання професійних обов’язків фахівця зі стандартизації, сертифікації та управління якості студентам необхідні теоретичні та практичні знання та навики з проведення робіт в галузі стандартизації, метрології, сертифікації, акредитації та управлінні якості в Україні і Європейському Союзі.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4" w:lineRule="exact"/>
              <w:ind w:left="104" w:right="572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Чому</w:t>
            </w:r>
            <w:r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можна</w:t>
            </w:r>
            <w:r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навчитися</w:t>
            </w:r>
            <w:r>
              <w:rPr>
                <w:rFonts w:ascii="Times New Roman" w:hAnsi="Times New Roman"/>
                <w:b/>
                <w:spacing w:val="25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(результати</w:t>
            </w:r>
            <w:r>
              <w:rPr>
                <w:rFonts w:ascii="Times New Roman" w:hAnsi="Times New Roman"/>
                <w:b/>
                <w:spacing w:val="-27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навчання)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Дана дисципліна є теоретичною і практичною основою сукупності знань та вмінь, що формують  профіль фахівця в області технічного регулювання; поглиблюють і розширюють компетентності пов’язані з застосування принципів, методів, правил і норм стандартизації, сертифікації, акредитації, метрології в управлінні підприємствами і якістю продукції, навики роботи з законодавчими та нормативними документами; опанування в організації та проведенні аудитів, сертифікації продукції, послуг й систем управління, акредитації органів з оцінювання відповідності.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4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ind w:left="104" w:right="165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Як</w:t>
            </w:r>
            <w:r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можна</w:t>
            </w:r>
            <w:r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користуватися</w:t>
            </w:r>
            <w:r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набутими</w:t>
            </w:r>
            <w:r>
              <w:rPr>
                <w:rFonts w:ascii="Times New Roman" w:hAnsi="Times New Roman"/>
                <w:b/>
                <w:spacing w:val="-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знаннями</w:t>
            </w:r>
            <w:r>
              <w:rPr>
                <w:rFonts w:ascii="Times New Roman" w:hAnsi="Times New Roman"/>
                <w:b/>
                <w:spacing w:val="-12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і</w:t>
            </w:r>
            <w:r>
              <w:rPr>
                <w:rFonts w:ascii="Times New Roman" w:hAnsi="Times New Roman"/>
                <w:b/>
                <w:spacing w:val="24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уміннями</w:t>
            </w:r>
            <w:r>
              <w:rPr>
                <w:rFonts w:ascii="Times New Roman" w:hAnsi="Times New Roman"/>
                <w:b/>
                <w:spacing w:val="-27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(компетентності)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У ході вивчення навчальної дисципліни студент повинен набути наступних компетентностей: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використовувати професійні знання й уміння для планування, організації та виконання робіт з технічного регулювання на різних рівнях; 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організовувати інформаційне забезпечення з метрології, стандартизації та сертифікації;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вміти здійснювати Державний та відомчий метрологічний контроль та нагляд за забезпеченням єдності вимірювань;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визначати процедуру та порядок проведення випробувань сертифікації продукції або/та послуг;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аналізувати результати сертифікаційних випробувань та приймати обґрунтовані рішення щодо можливості видачі сертифікату відповідності;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формувати фонд нормативних документів, що використо-вуються під час сертифікації продукції, послуг та сертифікації систем управління якістю.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використовувати теоретичні знання та практичні навички для забезпечення відповідного рівня якості продукції або/та послуг, або/та систем якості.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аналізувати, систематизувати, узагальнювати передовий міжнародний та вітчизняний досвід і світові тенденції у сфері технічного регулювання та на цій основі розробляти пропозиції щодо удосконалення процесів і поліпшення функціонування елементів системи технічного регулювання.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 xml:space="preserve">здійснювати метрологічне забезпечення процесів при управлінні якістю, стандартизації та сертифікації. 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організовувати та проводити аудити, сертифікацію продукції, послуг й систем управління, акредитацію органів з оцінювання відповідності.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розробляти перспективні, поточні та оперативні плани діяльності у сфері управління якістю, стандартизації та сертифікації в установі (організації, підприємстві).</w:t>
            </w:r>
          </w:p>
          <w:p>
            <w:pPr>
              <w:pStyle w:val="25"/>
              <w:tabs>
                <w:tab w:val="left" w:pos="420"/>
              </w:tabs>
              <w:ind w:left="102" w:right="15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контролювати виконання заходів за результатами нагляду та контролю за впровадженням і додержанням стандартів, а також робіт із стандартизації, сертифікації та управління якістю продукції та послуг структурними підрозділами, надавати їм відповідну інформаційну, організаційну та методичну допомогу.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Навчальна</w:t>
            </w:r>
            <w:r>
              <w:rPr>
                <w:rFonts w:ascii="Times New Roman" w:hAnsi="Times New Roman"/>
                <w:b/>
                <w:spacing w:val="-2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логістика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ind w:left="102" w:right="157"/>
              <w:rPr>
                <w:rFonts w:ascii="Times New Roman" w:hAnsi="Times New Roman"/>
                <w:w w:val="99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Зміст дисципліни:</w:t>
            </w:r>
            <w:r>
              <w:rPr>
                <w:rFonts w:ascii="Times New Roman" w:hAnsi="Times New Roman"/>
                <w:b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w w:val="99"/>
                <w:sz w:val="24"/>
                <w:lang w:val="uk-UA"/>
              </w:rPr>
              <w:t xml:space="preserve"> </w:t>
            </w:r>
          </w:p>
          <w:p>
            <w:pPr>
              <w:pStyle w:val="25"/>
              <w:ind w:left="102" w:right="157"/>
              <w:rPr>
                <w:rFonts w:ascii="Times New Roman" w:hAnsi="Times New Roman"/>
                <w:w w:val="99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Види занять:</w:t>
            </w:r>
            <w:r>
              <w:rPr>
                <w:rFonts w:ascii="Times New Roman" w:hAnsi="Times New Roman"/>
                <w:w w:val="99"/>
                <w:sz w:val="24"/>
                <w:lang w:val="uk-UA"/>
              </w:rPr>
              <w:t xml:space="preserve"> усього 105 год, кредитів 3,5, лекцій – 17, практичних – 17, МКР – 1, домашнє завдання – 1, самостійна робота – 71.</w:t>
            </w:r>
          </w:p>
          <w:p>
            <w:pPr>
              <w:pStyle w:val="25"/>
              <w:ind w:left="102" w:right="157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Методи навчання: </w:t>
            </w:r>
          </w:p>
          <w:p>
            <w:pPr>
              <w:pStyle w:val="25"/>
              <w:numPr>
                <w:ilvl w:val="0"/>
                <w:numId w:val="1"/>
              </w:numPr>
              <w:ind w:right="1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вербально-словесний;</w:t>
            </w:r>
          </w:p>
          <w:p>
            <w:pPr>
              <w:pStyle w:val="25"/>
              <w:numPr>
                <w:ilvl w:val="0"/>
                <w:numId w:val="1"/>
              </w:numPr>
              <w:ind w:right="157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наочний;</w:t>
            </w:r>
          </w:p>
          <w:p>
            <w:pPr>
              <w:pStyle w:val="25"/>
              <w:numPr>
                <w:ilvl w:val="0"/>
                <w:numId w:val="1"/>
              </w:numPr>
              <w:ind w:right="157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репродуктивний;</w:t>
            </w:r>
          </w:p>
          <w:p>
            <w:pPr>
              <w:pStyle w:val="25"/>
              <w:numPr>
                <w:ilvl w:val="0"/>
                <w:numId w:val="1"/>
              </w:numPr>
              <w:ind w:right="157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  <w:t>дослідницький.</w:t>
            </w:r>
          </w:p>
          <w:p>
            <w:pPr>
              <w:pStyle w:val="25"/>
              <w:ind w:left="102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Форми навчання: </w:t>
            </w:r>
            <w:r>
              <w:rPr>
                <w:rFonts w:ascii="Times New Roman" w:hAnsi="Times New Roman"/>
                <w:sz w:val="24"/>
                <w:lang w:val="uk-UA"/>
              </w:rPr>
              <w:t>очна, заочна форма навчання; дискусії, кейс-завдання, заняття із застосуванням комп’ютерної та телекомунікаційної техніки.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Пререквізити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="Times New Roman" w:hAnsi="Times New Roman" w:eastAsiaTheme="minorHAnsi" w:cstheme="minorBidi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lang w:eastAsia="en-US"/>
              </w:rPr>
              <w:t>Дана дисципліна є незалежною від інших дисциплін та не потребує попереднього вивчення.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Пореквізити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Знання та вміння, отримані студентом під час вивчення даної навчальної дисципліни, використовуються в подальшому при вивченні багатьох наступних дисциплін професійної підготовки фахівця з базовою та повною вищою освітою, як: «Стандартизація та сертифікація продукції та послуг», «Менеджмент якості», «Аудит у сфері якості», «Акредитація випробувальних лабораторій», «Законодавча метрологія», «Інформаційні технології в сфері управління якістю, стандартизації та сертифікації» та «Оцінювання відповідності персоналу».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1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ind w:left="104" w:right="12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Інформаційне</w:t>
            </w:r>
            <w:r>
              <w:rPr>
                <w:rFonts w:ascii="Times New Roman" w:hAnsi="Times New Roman"/>
                <w:b/>
                <w:spacing w:val="-2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забезпечення</w:t>
            </w:r>
            <w:r>
              <w:rPr>
                <w:rFonts w:ascii="Times New Roman" w:hAnsi="Times New Roman"/>
                <w:b/>
                <w:spacing w:val="35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з</w:t>
            </w:r>
            <w:r>
              <w:rPr>
                <w:rFonts w:ascii="Times New Roman" w:hAnsi="Times New Roman"/>
                <w:b/>
                <w:spacing w:val="-7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репозитарію</w:t>
            </w:r>
            <w:r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4"/>
                <w:lang w:val="uk-UA"/>
              </w:rPr>
              <w:t>та</w:t>
            </w:r>
            <w:r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фонду</w:t>
            </w:r>
            <w:r>
              <w:rPr>
                <w:rFonts w:ascii="Times New Roman" w:hAnsi="Times New Roman"/>
                <w:b/>
                <w:spacing w:val="24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НТБ</w:t>
            </w:r>
            <w:r>
              <w:rPr>
                <w:rFonts w:ascii="Times New Roman" w:hAnsi="Times New Roman"/>
                <w:b/>
                <w:spacing w:val="-5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НАУ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Навчальна та наукова література:</w:t>
            </w:r>
          </w:p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lang w:val="uk-UA"/>
              </w:rPr>
              <w:t>Стандартизація і сертифікація продукції та послуг : навч. посіб. / Н. А. Мєдвєдєва, О. В. Радько, О. Д. Близнюк, М. М. Регульський. — К. : НАУ, 2013. — 400 с.</w:t>
            </w:r>
          </w:p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lang w:val="uk-UA"/>
              </w:rPr>
              <w:t>Величко О. М., Коломігць Л. В., Гордієнко Т. Б. Основи технічного регулювання і оцінки відповідності. Підручник. - Одеса: ВМВ, 2013. - 394 с.</w:t>
            </w:r>
          </w:p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3.</w:t>
            </w:r>
            <w:r>
              <w:rPr>
                <w:rFonts w:ascii="Times New Roman" w:hAnsi="Times New Roman"/>
                <w:sz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lang w:val="uk-UA"/>
              </w:rPr>
              <w:t>Мєдвєдєва Н..А. Законодавча метрологія та стандартизація:  Навчально-методичні рекомендації до проведення практичних занять – К.: ТОВ «ЦП «КОМПРИНТ», 2017 – 380 с.</w:t>
            </w:r>
          </w:p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4.</w:t>
            </w:r>
            <w:r>
              <w:rPr>
                <w:rFonts w:ascii="Times New Roman" w:hAnsi="Times New Roman"/>
                <w:sz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lang w:val="uk-UA"/>
              </w:rPr>
              <w:t>Величко О.М. Коцюба А.М., Новиков В.М. Основи метрології та метрологічна діяльність: Навч. посіб. – К.: 2000. – 228 с.</w:t>
            </w:r>
          </w:p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 </w:t>
            </w:r>
            <w:r>
              <w:fldChar w:fldCharType="begin"/>
            </w:r>
            <w:r>
              <w:instrText xml:space="preserve"> HYPERLINK "https://www.me.gov.ua/Tags/DocumentsByTag?lang=uk-UA&amp;tag=TekhnichneReguliuvannia"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me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gov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ua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Tags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DocumentsByTag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lang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uk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UA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&amp;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tag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TekhnichneReguliuvannia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HYPERLINK "https://www.me.gov.ua/Tags/DocumentsByTag?lang=uk-UA&amp;tag=TekhnichneReguliuvannia"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42" w:lineRule="auto"/>
              <w:ind w:left="104" w:right="46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Локація</w:t>
            </w:r>
            <w:r>
              <w:rPr>
                <w:rFonts w:ascii="Times New Roman" w:hAnsi="Times New Roman"/>
                <w:b/>
                <w:spacing w:val="-12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4"/>
                <w:lang w:val="uk-UA"/>
              </w:rPr>
              <w:t>та</w:t>
            </w:r>
            <w:r>
              <w:rPr>
                <w:rFonts w:ascii="Times New Roman" w:hAnsi="Times New Roman"/>
                <w:b/>
                <w:spacing w:val="-15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матеріально-</w:t>
            </w:r>
            <w:r>
              <w:rPr>
                <w:rFonts w:ascii="Times New Roman" w:hAnsi="Times New Roman"/>
                <w:b/>
                <w:spacing w:val="30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технічне</w:t>
            </w:r>
            <w:r>
              <w:rPr>
                <w:rFonts w:ascii="Times New Roman" w:hAnsi="Times New Roman"/>
                <w:b/>
                <w:spacing w:val="-23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забезпечення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Корпус 2, ауд. 408 «лабораторія систем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якості»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42" w:lineRule="auto"/>
              <w:ind w:left="104" w:right="461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Семестровий</w:t>
            </w:r>
            <w:r>
              <w:rPr>
                <w:rFonts w:ascii="Times New Roman" w:hAnsi="Times New Roman"/>
                <w:b/>
                <w:spacing w:val="-23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контроль,</w:t>
            </w:r>
            <w:r>
              <w:rPr>
                <w:rFonts w:ascii="Times New Roman" w:hAnsi="Times New Roman"/>
                <w:b/>
                <w:spacing w:val="29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екзаменаційна</w:t>
            </w:r>
            <w:r>
              <w:rPr>
                <w:rFonts w:ascii="Times New Roman" w:hAnsi="Times New Roman"/>
                <w:b/>
                <w:spacing w:val="-25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методика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Диференційний залік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Кафедра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Прикладної механіки та інженерії матеріалів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Факультет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Аерокосмічний факультет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Викладач(і)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before="7"/>
              <w:ind w:firstLine="55"/>
              <w:rPr>
                <w:rFonts w:ascii="Times New Roman" w:hAnsi="Times New Roman" w:eastAsia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60960</wp:posOffset>
                  </wp:positionV>
                  <wp:extent cx="793750" cy="1295400"/>
                  <wp:effectExtent l="0" t="0" r="6350" b="0"/>
                  <wp:wrapTopAndBottom/>
                  <wp:docPr id="8" name="Рисунок 8" descr="D:\Fotos\Н-2020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D:\Fotos\Н-2020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5"/>
              <w:ind w:left="762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42" w:lineRule="auto"/>
              <w:ind w:left="104" w:right="123"/>
              <w:rPr>
                <w:rFonts w:ascii="Times New Roman" w:hAnsi="Times New Roman"/>
                <w:spacing w:val="24"/>
                <w:w w:val="99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ПІБ</w:t>
            </w:r>
            <w:r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    </w:t>
            </w:r>
            <w:r>
              <w:rPr>
                <w:rFonts w:ascii="Times New Roman" w:hAnsi="Times New Roman"/>
                <w:spacing w:val="-10"/>
                <w:sz w:val="24"/>
                <w:lang w:val="uk-UA"/>
              </w:rPr>
              <w:t>Мєдвєдєва Н.А.</w:t>
            </w:r>
          </w:p>
          <w:p>
            <w:pPr>
              <w:pStyle w:val="25"/>
              <w:spacing w:line="242" w:lineRule="auto"/>
              <w:ind w:left="104" w:right="123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 xml:space="preserve">Посада:     </w:t>
            </w:r>
            <w:r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доцент </w:t>
            </w:r>
          </w:p>
          <w:p>
            <w:pPr>
              <w:pStyle w:val="25"/>
              <w:ind w:left="104" w:right="123"/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Науковий</w:t>
            </w:r>
            <w:r>
              <w:rPr>
                <w:rFonts w:ascii="Times New Roman" w:hAnsi="Times New Roman"/>
                <w:b/>
                <w:spacing w:val="4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ступінь:</w:t>
            </w:r>
            <w:r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27"/>
                <w:w w:val="99"/>
                <w:sz w:val="24"/>
                <w:lang w:val="uk-UA"/>
              </w:rPr>
              <w:t xml:space="preserve">  к.т.н.</w:t>
            </w:r>
          </w:p>
          <w:p>
            <w:pPr>
              <w:pStyle w:val="25"/>
              <w:ind w:left="104" w:right="123"/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Вчене</w:t>
            </w:r>
            <w:r>
              <w:rPr>
                <w:rFonts w:ascii="Times New Roman" w:hAnsi="Times New Roman"/>
                <w:b/>
                <w:spacing w:val="-14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звання:</w:t>
            </w:r>
            <w:r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spacing w:val="27"/>
                <w:w w:val="99"/>
                <w:sz w:val="24"/>
                <w:lang w:val="uk-UA"/>
              </w:rPr>
              <w:t xml:space="preserve"> доцент</w:t>
            </w:r>
          </w:p>
          <w:p>
            <w:pPr>
              <w:pStyle w:val="25"/>
              <w:ind w:left="104" w:right="123"/>
              <w:rPr>
                <w:rFonts w:ascii="Times New Roman" w:hAnsi="Times New Roman"/>
                <w:b/>
                <w:spacing w:val="23"/>
                <w:w w:val="99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Профайл</w:t>
            </w:r>
            <w:r>
              <w:rPr>
                <w:rFonts w:ascii="Times New Roman" w:hAnsi="Times New Roman"/>
                <w:b/>
                <w:spacing w:val="-21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викладача:</w:t>
            </w:r>
            <w:r>
              <w:rPr>
                <w:rFonts w:ascii="Times New Roman" w:hAnsi="Times New Roman"/>
                <w:b/>
                <w:spacing w:val="23"/>
                <w:w w:val="99"/>
                <w:sz w:val="24"/>
                <w:lang w:val="uk-UA"/>
              </w:rPr>
              <w:t xml:space="preserve"> </w:t>
            </w:r>
            <w:r>
              <w:fldChar w:fldCharType="begin"/>
            </w:r>
            <w:r>
              <w:instrText xml:space="preserve"> HYPERLINK "http://www.lib.nau.edu.ua/naukpraci/teacher.php?id=12643"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/>
                <w:b/>
                <w:spacing w:val="23"/>
                <w:w w:val="99"/>
                <w:sz w:val="24"/>
                <w:lang w:val="uk-UA"/>
              </w:rPr>
              <w:t>http://www.lib.nau.edu.ua/naukpraci/teacher.php?id=12643</w:t>
            </w:r>
            <w:r>
              <w:rPr>
                <w:rStyle w:val="11"/>
                <w:rFonts w:ascii="Times New Roman" w:hAnsi="Times New Roman"/>
                <w:b/>
                <w:spacing w:val="23"/>
                <w:w w:val="99"/>
                <w:sz w:val="24"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spacing w:val="23"/>
                <w:w w:val="99"/>
                <w:sz w:val="24"/>
                <w:lang w:val="uk-UA"/>
              </w:rPr>
              <w:t xml:space="preserve"> </w:t>
            </w:r>
          </w:p>
          <w:p>
            <w:pPr>
              <w:pStyle w:val="25"/>
              <w:ind w:left="104" w:right="123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Тел.:</w:t>
            </w:r>
            <w:r>
              <w:rPr>
                <w:rFonts w:ascii="Times New Roman" w:hAnsi="Times New Roman"/>
                <w:spacing w:val="-1"/>
                <w:sz w:val="24"/>
                <w:lang w:val="uk-UA"/>
              </w:rPr>
              <w:t xml:space="preserve">   +38 (099) 483-44-50</w:t>
            </w:r>
          </w:p>
          <w:p>
            <w:pPr>
              <w:pStyle w:val="25"/>
              <w:spacing w:line="242" w:lineRule="auto"/>
              <w:ind w:left="104" w:right="123"/>
              <w:rPr>
                <w:rFonts w:ascii="Times New Roman" w:hAnsi="Times New Roman"/>
                <w:b/>
                <w:spacing w:val="25"/>
                <w:w w:val="99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E-mail:</w:t>
            </w:r>
            <w:r>
              <w:rPr>
                <w:rFonts w:ascii="Times New Roman" w:hAnsi="Times New Roman"/>
                <w:b/>
                <w:spacing w:val="25"/>
                <w:w w:val="99"/>
                <w:sz w:val="24"/>
                <w:lang w:val="uk-UA"/>
              </w:rPr>
              <w:t xml:space="preserve"> </w:t>
            </w:r>
          </w:p>
          <w:p>
            <w:pPr>
              <w:pStyle w:val="25"/>
              <w:spacing w:line="242" w:lineRule="auto"/>
              <w:ind w:left="104" w:right="123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Робоче</w:t>
            </w:r>
            <w:r>
              <w:rPr>
                <w:rFonts w:ascii="Times New Roman" w:hAnsi="Times New Roman"/>
                <w:b/>
                <w:spacing w:val="-14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місце: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before="5" w:line="274" w:lineRule="exact"/>
              <w:ind w:left="104" w:right="140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Оригінальність</w:t>
            </w:r>
            <w:r>
              <w:rPr>
                <w:rFonts w:ascii="Times New Roman" w:hAnsi="Times New Roman"/>
                <w:b/>
                <w:spacing w:val="-25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навчальної</w:t>
            </w:r>
            <w:r>
              <w:rPr>
                <w:rFonts w:ascii="Times New Roman" w:hAnsi="Times New Roman"/>
                <w:b/>
                <w:spacing w:val="28"/>
                <w:w w:val="99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5"/>
              <w:spacing w:line="272" w:lineRule="exact"/>
              <w:ind w:left="104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Лінк</w:t>
            </w:r>
            <w:r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на</w:t>
            </w:r>
            <w:r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дисципліну</w:t>
            </w:r>
          </w:p>
        </w:tc>
        <w:tc>
          <w:tcPr>
            <w:tcW w:w="39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</w:tr>
    </w:tbl>
    <w:p>
      <w:pPr>
        <w:tabs>
          <w:tab w:val="left" w:pos="993"/>
        </w:tabs>
        <w:ind w:firstLine="720"/>
        <w:jc w:val="both"/>
        <w:rPr>
          <w:iCs/>
        </w:rPr>
      </w:pPr>
    </w:p>
    <w:p>
      <w:pPr>
        <w:tabs>
          <w:tab w:val="left" w:pos="993"/>
        </w:tabs>
        <w:ind w:firstLine="720"/>
        <w:jc w:val="both"/>
        <w:rPr>
          <w:iCs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1148C1"/>
    <w:multiLevelType w:val="multilevel"/>
    <w:tmpl w:val="301148C1"/>
    <w:lvl w:ilvl="0" w:tentative="0">
      <w:start w:val="1"/>
      <w:numFmt w:val="bullet"/>
      <w:lvlText w:val="-"/>
      <w:lvlJc w:val="left"/>
      <w:pPr>
        <w:ind w:left="822" w:hanging="360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11F73"/>
    <w:rsid w:val="00002B68"/>
    <w:rsid w:val="00311F73"/>
    <w:rsid w:val="0054759F"/>
    <w:rsid w:val="00554660"/>
    <w:rsid w:val="00572C14"/>
    <w:rsid w:val="005C40AA"/>
    <w:rsid w:val="006603B6"/>
    <w:rsid w:val="00873064"/>
    <w:rsid w:val="00D0517A"/>
    <w:rsid w:val="00D30255"/>
    <w:rsid w:val="00F671CA"/>
    <w:rsid w:val="7B7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5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3"/>
    <w:basedOn w:val="1"/>
    <w:next w:val="1"/>
    <w:link w:val="16"/>
    <w:qFormat/>
    <w:uiPriority w:val="0"/>
    <w:pPr>
      <w:keepNext/>
      <w:jc w:val="center"/>
      <w:outlineLvl w:val="2"/>
    </w:pPr>
    <w:rPr>
      <w:b/>
      <w:bCs/>
      <w:sz w:val="36"/>
      <w:szCs w:val="36"/>
    </w:rPr>
  </w:style>
  <w:style w:type="paragraph" w:styleId="5">
    <w:name w:val="heading 4"/>
    <w:basedOn w:val="1"/>
    <w:next w:val="1"/>
    <w:link w:val="17"/>
    <w:qFormat/>
    <w:uiPriority w:val="0"/>
    <w:pPr>
      <w:keepNext/>
      <w:tabs>
        <w:tab w:val="left" w:pos="5812"/>
      </w:tabs>
      <w:spacing w:before="120"/>
      <w:jc w:val="both"/>
      <w:outlineLvl w:val="3"/>
    </w:pPr>
    <w:rPr>
      <w:b/>
      <w:bCs/>
      <w:sz w:val="26"/>
      <w:szCs w:val="26"/>
    </w:rPr>
  </w:style>
  <w:style w:type="paragraph" w:styleId="6">
    <w:name w:val="heading 5"/>
    <w:basedOn w:val="1"/>
    <w:next w:val="1"/>
    <w:link w:val="18"/>
    <w:qFormat/>
    <w:uiPriority w:val="0"/>
    <w:pPr>
      <w:keepNext/>
      <w:tabs>
        <w:tab w:val="left" w:pos="4253"/>
      </w:tabs>
      <w:jc w:val="center"/>
      <w:outlineLvl w:val="4"/>
    </w:pPr>
    <w:rPr>
      <w:b/>
      <w:bCs/>
      <w:spacing w:val="40"/>
      <w:sz w:val="40"/>
      <w:szCs w:val="40"/>
    </w:rPr>
  </w:style>
  <w:style w:type="paragraph" w:styleId="7">
    <w:name w:val="heading 6"/>
    <w:basedOn w:val="1"/>
    <w:next w:val="1"/>
    <w:link w:val="19"/>
    <w:qFormat/>
    <w:uiPriority w:val="0"/>
    <w:pPr>
      <w:keepNext/>
      <w:tabs>
        <w:tab w:val="left" w:pos="4253"/>
      </w:tabs>
      <w:spacing w:line="360" w:lineRule="auto"/>
      <w:jc w:val="center"/>
      <w:outlineLvl w:val="5"/>
    </w:pPr>
    <w:rPr>
      <w:b/>
      <w:bCs/>
      <w:sz w:val="48"/>
      <w:szCs w:val="48"/>
    </w:rPr>
  </w:style>
  <w:style w:type="paragraph" w:styleId="8">
    <w:name w:val="heading 8"/>
    <w:basedOn w:val="1"/>
    <w:next w:val="1"/>
    <w:link w:val="20"/>
    <w:qFormat/>
    <w:uiPriority w:val="0"/>
    <w:pPr>
      <w:spacing w:before="240" w:after="60"/>
      <w:outlineLvl w:val="7"/>
    </w:pPr>
    <w:rPr>
      <w:i/>
      <w:iCs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Subtitle"/>
    <w:basedOn w:val="1"/>
    <w:link w:val="23"/>
    <w:qFormat/>
    <w:uiPriority w:val="0"/>
    <w:pPr>
      <w:ind w:left="5812"/>
      <w:jc w:val="center"/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Заголовок 1 Знак"/>
    <w:basedOn w:val="9"/>
    <w:link w:val="2"/>
    <w:qFormat/>
    <w:uiPriority w:val="0"/>
    <w:rPr>
      <w:rFonts w:ascii="Arial" w:hAnsi="Arial" w:cs="Arial"/>
      <w:b/>
      <w:bCs/>
      <w:kern w:val="28"/>
      <w:sz w:val="28"/>
      <w:szCs w:val="28"/>
    </w:rPr>
  </w:style>
  <w:style w:type="character" w:customStyle="1" w:styleId="15">
    <w:name w:val="Заголовок 2 Знак"/>
    <w:basedOn w:val="9"/>
    <w:link w:val="3"/>
    <w:qFormat/>
    <w:uiPriority w:val="0"/>
    <w:rPr>
      <w:rFonts w:ascii="Arial" w:hAnsi="Arial" w:cs="Arial"/>
      <w:b/>
      <w:bCs/>
      <w:i/>
      <w:iCs/>
      <w:sz w:val="24"/>
      <w:szCs w:val="24"/>
    </w:rPr>
  </w:style>
  <w:style w:type="character" w:customStyle="1" w:styleId="16">
    <w:name w:val="Заголовок 3 Знак"/>
    <w:basedOn w:val="9"/>
    <w:link w:val="4"/>
    <w:qFormat/>
    <w:uiPriority w:val="0"/>
    <w:rPr>
      <w:b/>
      <w:bCs/>
      <w:sz w:val="36"/>
      <w:szCs w:val="36"/>
      <w:lang w:val="uk-UA"/>
    </w:rPr>
  </w:style>
  <w:style w:type="character" w:customStyle="1" w:styleId="17">
    <w:name w:val="Заголовок 4 Знак"/>
    <w:basedOn w:val="9"/>
    <w:link w:val="5"/>
    <w:qFormat/>
    <w:uiPriority w:val="0"/>
    <w:rPr>
      <w:b/>
      <w:bCs/>
      <w:sz w:val="26"/>
      <w:szCs w:val="26"/>
      <w:lang w:val="uk-UA"/>
    </w:rPr>
  </w:style>
  <w:style w:type="character" w:customStyle="1" w:styleId="18">
    <w:name w:val="Заголовок 5 Знак"/>
    <w:link w:val="6"/>
    <w:qFormat/>
    <w:uiPriority w:val="0"/>
    <w:rPr>
      <w:b/>
      <w:bCs/>
      <w:spacing w:val="40"/>
      <w:sz w:val="40"/>
      <w:szCs w:val="40"/>
      <w:lang w:val="uk-UA" w:eastAsia="ru-RU" w:bidi="ar-SA"/>
    </w:rPr>
  </w:style>
  <w:style w:type="character" w:customStyle="1" w:styleId="19">
    <w:name w:val="Заголовок 6 Знак"/>
    <w:basedOn w:val="9"/>
    <w:link w:val="7"/>
    <w:qFormat/>
    <w:uiPriority w:val="0"/>
    <w:rPr>
      <w:b/>
      <w:bCs/>
      <w:sz w:val="48"/>
      <w:szCs w:val="48"/>
      <w:lang w:val="uk-UA"/>
    </w:rPr>
  </w:style>
  <w:style w:type="character" w:customStyle="1" w:styleId="20">
    <w:name w:val="Заголовок 8 Знак"/>
    <w:basedOn w:val="9"/>
    <w:link w:val="8"/>
    <w:qFormat/>
    <w:uiPriority w:val="0"/>
    <w:rPr>
      <w:i/>
      <w:iCs/>
      <w:sz w:val="24"/>
      <w:szCs w:val="24"/>
    </w:rPr>
  </w:style>
  <w:style w:type="paragraph" w:customStyle="1" w:styleId="21">
    <w:name w:val="_Style 17"/>
    <w:qFormat/>
    <w:uiPriority w:val="0"/>
    <w:pPr>
      <w:jc w:val="center"/>
    </w:pPr>
    <w:rPr>
      <w:rFonts w:ascii="Times New Roman" w:hAnsi="Times New Roman" w:eastAsia="Times New Roman" w:cs="Times New Roman"/>
      <w:b/>
      <w:sz w:val="28"/>
      <w:szCs w:val="24"/>
      <w:lang w:val="uk-UA" w:eastAsia="ru-RU" w:bidi="ar-SA"/>
    </w:rPr>
  </w:style>
  <w:style w:type="character" w:customStyle="1" w:styleId="22">
    <w:name w:val="Название Знак"/>
    <w:basedOn w:val="9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3">
    <w:name w:val="Подзаголовок Знак"/>
    <w:basedOn w:val="9"/>
    <w:link w:val="12"/>
    <w:qFormat/>
    <w:uiPriority w:val="0"/>
    <w:rPr>
      <w:sz w:val="24"/>
      <w:szCs w:val="24"/>
    </w:rPr>
  </w:style>
  <w:style w:type="paragraph" w:styleId="24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25">
    <w:name w:val="Table Paragraph"/>
    <w:basedOn w:val="1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table" w:customStyle="1" w:styleId="26">
    <w:name w:val="Table Normal1"/>
    <w:semiHidden/>
    <w:unhideWhenUsed/>
    <w:qFormat/>
    <w:uiPriority w:val="2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7F3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4</Pages>
  <Words>1094</Words>
  <Characters>6240</Characters>
  <Lines>52</Lines>
  <Paragraphs>14</Paragraphs>
  <TotalTime>0</TotalTime>
  <ScaleCrop>false</ScaleCrop>
  <LinksUpToDate>false</LinksUpToDate>
  <CharactersWithSpaces>7320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2021-07-03T09:32:00Z</dcterms:created>
  <dc:creator>Владимир Борисович</dc:creator>
  <cp:lastModifiedBy>Oleksa</cp:lastModifiedBy>
  <dcterms:modified xsi:type="dcterms:W3CDTF">2021-11-11T14:41:48Z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0FCD189245204332B1041BE59BD8AC85</vt:lpwstr>
  </property>
</Properties>
</file>