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2024 рік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aps/>
          <w:sz w:val="28"/>
          <w:szCs w:val="28"/>
        </w:rPr>
        <w:t>о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бладнання і методи трибологічних досліджень</w:t>
      </w:r>
      <w:r>
        <w:rPr>
          <w:rFonts w:hint="default" w:ascii="Times New Roman" w:hAnsi="Times New Roman" w:cs="Times New Roman"/>
          <w:sz w:val="28"/>
          <w:szCs w:val="28"/>
        </w:rPr>
        <w:t xml:space="preserve">: лабораторний практикум / О.О. Мікосянчик, А.О. </w:t>
      </w:r>
      <w:r>
        <w:rPr>
          <w:rFonts w:hint="default" w:ascii="Times New Roman" w:hAnsi="Times New Roman" w:cs="Times New Roman"/>
          <w:iCs/>
          <w:color w:val="000000"/>
          <w:spacing w:val="-8"/>
          <w:sz w:val="28"/>
          <w:szCs w:val="28"/>
        </w:rPr>
        <w:t xml:space="preserve">Корнієнко, </w:t>
      </w:r>
      <w:r>
        <w:rPr>
          <w:rFonts w:hint="default" w:ascii="Times New Roman" w:hAnsi="Times New Roman" w:cs="Times New Roman"/>
          <w:sz w:val="28"/>
          <w:szCs w:val="28"/>
        </w:rPr>
        <w:t>С.В. Федорчук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– К.: НАУ, 2024. </w:t>
      </w:r>
      <w:r>
        <w:rPr>
          <w:rFonts w:hint="default" w:ascii="Times New Roman" w:hAnsi="Times New Roman" w:cs="Times New Roman"/>
          <w:sz w:val="28"/>
          <w:szCs w:val="28"/>
        </w:rPr>
        <w:t>– 56 с.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Діагностика та оцінка надійності технічних систем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: практикум / уклад.: О.О. Мікосянчик,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>. В. Семак, А.В. Балалаєв. – К.: НАУ, 2024. – 36 с.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</w:rPr>
        <w:t>Технології виготовлення та дослідження механічних властивостей інноваційних матеріалів</w:t>
      </w:r>
      <w:r>
        <w:rPr>
          <w:rFonts w:hint="default" w:ascii="Times New Roman" w:hAnsi="Times New Roman" w:cs="Times New Roman"/>
          <w:sz w:val="28"/>
          <w:szCs w:val="28"/>
        </w:rPr>
        <w:t>: практикум / О.О. Мікосянчик, О.А. Шевченко</w:t>
      </w:r>
      <w:r>
        <w:rPr>
          <w:rFonts w:hint="default" w:ascii="Times New Roman" w:hAnsi="Times New Roman" w:cs="Times New Roman"/>
          <w:iCs/>
          <w:color w:val="000000"/>
          <w:spacing w:val="-8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С.Ю. Богдан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– К.: НАУ, 2024. </w:t>
      </w:r>
      <w:r>
        <w:rPr>
          <w:rFonts w:hint="default" w:ascii="Times New Roman" w:hAnsi="Times New Roman" w:cs="Times New Roman"/>
          <w:sz w:val="28"/>
          <w:szCs w:val="28"/>
        </w:rPr>
        <w:t>– 96 с.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Триботехнічні матеріали та методи підвищення зносостійкості:</w:t>
      </w:r>
      <w:r>
        <w:rPr>
          <w:rFonts w:hint="default" w:ascii="Times New Roman" w:hAnsi="Times New Roman" w:cs="Times New Roman"/>
          <w:sz w:val="28"/>
          <w:szCs w:val="28"/>
        </w:rPr>
        <w:t>лабораторний практикум/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М.В.Кіндрачук, В.В.Харченко, Д.В. Леусенко. 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– К.: НАУ, 2024. </w:t>
      </w:r>
      <w:r>
        <w:rPr>
          <w:rFonts w:hint="default" w:ascii="Times New Roman" w:hAnsi="Times New Roman" w:cs="Times New Roman"/>
          <w:sz w:val="28"/>
          <w:szCs w:val="28"/>
        </w:rPr>
        <w:t>– 36 с.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cap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Аероакустика газотурбінних двигунів</w:t>
      </w:r>
      <w:r>
        <w:rPr>
          <w:rFonts w:hint="default" w:ascii="Times New Roman" w:hAnsi="Times New Roman" w:cs="Times New Roman"/>
          <w:b/>
          <w:bCs/>
          <w:caps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 xml:space="preserve">методичні рекомендації до самостійної роботи / К.В. Балалаєва, А.В. Балалаєв. – К.: НАУ, 2024. –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32</w:t>
      </w:r>
      <w:r>
        <w:rPr>
          <w:rStyle w:val="6"/>
          <w:rFonts w:hint="default" w:ascii="Times New Roman" w:hAnsi="Times New Roman" w:cs="Times New Roman"/>
          <w:sz w:val="28"/>
          <w:szCs w:val="28"/>
          <w:lang w:val="en-US"/>
        </w:rPr>
        <w:t>c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Теоретична механіка (статика): </w:t>
      </w:r>
      <w:r>
        <w:rPr>
          <w:rFonts w:hint="default" w:ascii="Times New Roman" w:hAnsi="Times New Roman" w:cs="Times New Roman"/>
          <w:sz w:val="28"/>
          <w:szCs w:val="28"/>
        </w:rPr>
        <w:t xml:space="preserve">практикум/ Г.Г. Голембієвський, А.В. Балалаєв, В.О. Закревський. – К.: НАУ, 2024. –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56</w:t>
      </w:r>
      <w:r>
        <w:rPr>
          <w:rStyle w:val="6"/>
          <w:rFonts w:hint="default" w:ascii="Times New Roman" w:hAnsi="Times New Roman" w:cs="Times New Roman"/>
          <w:sz w:val="28"/>
          <w:szCs w:val="28"/>
          <w:lang w:val="en-US"/>
        </w:rPr>
        <w:t>c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2023 рік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Триботехніка та основи надійності машин: </w:t>
      </w:r>
      <w:r>
        <w:rPr>
          <w:rFonts w:hint="default" w:ascii="Times New Roman" w:hAnsi="Times New Roman" w:cs="Times New Roman"/>
          <w:sz w:val="28"/>
          <w:szCs w:val="28"/>
        </w:rPr>
        <w:t>практикум / уклад.: О.О. Мікосянчик., Р.Г. Мнацаканов, О.В. Харченко, О.А. Ільїна. – К.: НАУ, 2023. – 102 с.</w:t>
      </w:r>
    </w:p>
    <w:p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Електротехнічні матеріали: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навч. посібник / О. О. Мікосянчик, В. Ф. Лабунець, С. В. Федорчук. – К.: НАУ, 2023. – 210 с.</w:t>
      </w:r>
    </w:p>
    <w:p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Трибологія та інженерія поверхні</w:t>
      </w:r>
      <w:r>
        <w:rPr>
          <w:rFonts w:hint="default" w:ascii="Times New Roman" w:hAnsi="Times New Roman" w:eastAsia="Calibri" w:cs="Times New Roman"/>
          <w:sz w:val="28"/>
          <w:szCs w:val="28"/>
        </w:rPr>
        <w:t>/: Практикум для здобу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вачів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вищої освіти освітнього ступеня доктора філософії за спеціальністю 131 «Прикладна механіка»/ М.В. Кіндрачук, О.І. Духота, В.В. Харченко, Д.В. Леусенко.- К.: НАУ, 2023. – 48 с.</w:t>
      </w:r>
    </w:p>
    <w:p>
      <w:pPr>
        <w:numPr>
          <w:ilvl w:val="0"/>
          <w:numId w:val="2"/>
        </w:numPr>
        <w:tabs>
          <w:tab w:val="left" w:pos="851"/>
          <w:tab w:val="clear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Триботехнічні матеріали і методи підвищення зносостійкості</w:t>
      </w:r>
      <w:r>
        <w:rPr>
          <w:rFonts w:hint="default" w:ascii="Times New Roman" w:hAnsi="Times New Roman" w:eastAsia="Calibri" w:cs="Times New Roman"/>
          <w:sz w:val="28"/>
          <w:szCs w:val="28"/>
        </w:rPr>
        <w:t>/: Практикум для здобу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вачів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вищої освіти освітнього ступеня доктора філософії за спеціальністю 131 «Прикладна механіка»/ М.В. Кіндрачук, О.І. Духота, В.В. Харченко, Д.В. Леусенко.- К.: НАУ, 2023. – 48 с.</w:t>
      </w:r>
    </w:p>
    <w:p>
      <w:pPr>
        <w:numPr>
          <w:ilvl w:val="0"/>
          <w:numId w:val="2"/>
        </w:numPr>
        <w:tabs>
          <w:tab w:val="left" w:pos="851"/>
          <w:tab w:val="clear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Теоретична механіка: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</w:rPr>
        <w:t xml:space="preserve">методичні рекомендації до виконання курсової роботи </w:t>
      </w:r>
      <w:r>
        <w:rPr>
          <w:rFonts w:hint="default" w:ascii="Times New Roman" w:hAnsi="Times New Roman" w:eastAsia="Calibri" w:cs="Times New Roman"/>
          <w:sz w:val="28"/>
          <w:szCs w:val="28"/>
        </w:rPr>
        <w:t>/ уклад.: Г.Г. Голембієвський,В.О. Закревський. – К. : НАУ, 2023. – 40 с.</w:t>
      </w:r>
    </w:p>
    <w:p>
      <w:pPr>
        <w:pStyle w:val="4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2022 </w:t>
      </w:r>
      <w:r>
        <w:rPr>
          <w:rFonts w:hint="default" w:ascii="Times New Roman" w:hAnsi="Times New Roman" w:cs="Times New Roman"/>
          <w:b/>
          <w:sz w:val="28"/>
          <w:szCs w:val="28"/>
        </w:rPr>
        <w:t>рік</w:t>
      </w:r>
    </w:p>
    <w:p>
      <w:pPr>
        <w:pStyle w:val="4"/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3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Деталі машин</w:t>
      </w:r>
      <w:r>
        <w:rPr>
          <w:rFonts w:hint="default" w:ascii="Times New Roman" w:hAnsi="Times New Roman" w:cs="Times New Roman"/>
          <w:sz w:val="28"/>
          <w:szCs w:val="28"/>
        </w:rPr>
        <w:t>: лабораторний практикум/ уклад.: Г.М. Борозенець,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І.В.Семак, О.В., Башта, П.Л. Носко.-К.: НАУ, 2022.-72 с.</w:t>
      </w:r>
    </w:p>
    <w:p>
      <w:pPr>
        <w:pStyle w:val="4"/>
        <w:numPr>
          <w:ilvl w:val="0"/>
          <w:numId w:val="3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</w:rPr>
        <w:t>Технічна механіка</w:t>
      </w:r>
      <w:r>
        <w:rPr>
          <w:rFonts w:hint="default" w:ascii="Times New Roman" w:hAnsi="Times New Roman" w:cs="Times New Roman"/>
          <w:sz w:val="28"/>
          <w:szCs w:val="28"/>
        </w:rPr>
        <w:t>: методичні рекомендації/ С.Ю. Богдан, Г.Г. Голембієвський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– К.: НАУ, 2022. </w:t>
      </w:r>
      <w:r>
        <w:rPr>
          <w:rFonts w:hint="default" w:ascii="Times New Roman" w:hAnsi="Times New Roman" w:cs="Times New Roman"/>
          <w:sz w:val="28"/>
          <w:szCs w:val="28"/>
        </w:rPr>
        <w:t>– 72 с.</w:t>
      </w:r>
    </w:p>
    <w:p>
      <w:pPr>
        <w:pStyle w:val="4"/>
        <w:numPr>
          <w:ilvl w:val="0"/>
          <w:numId w:val="3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Технічна механіка: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методичні рекомендації до виконання домашніх робіт / уклад.: С.Ю. Богдан, Г.Г. Голембієвський – К. : НАУ, 2022. – 68 с.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>
        <w:rPr>
          <w:rFonts w:hint="default" w:ascii="Times New Roman" w:hAnsi="Times New Roman" w:cs="Times New Roman"/>
          <w:b/>
          <w:sz w:val="28"/>
          <w:szCs w:val="28"/>
        </w:rPr>
        <w:t>2021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4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Пластичні мастила: властивості та якість:</w:t>
      </w:r>
      <w:r>
        <w:rPr>
          <w:rFonts w:hint="default" w:ascii="Times New Roman" w:hAnsi="Times New Roman" w:cs="Times New Roman"/>
          <w:sz w:val="28"/>
          <w:szCs w:val="28"/>
        </w:rPr>
        <w:t xml:space="preserve"> підручник /Бойченко С.В., Топільницький П.І., Пушак А.П., Мікосянчик О.О. та ін.; за заг. ред. С.В. Бойченка. – Київ: Центр учбової літератури, 2021. 274 с.</w:t>
      </w:r>
    </w:p>
    <w:p>
      <w:pPr>
        <w:pStyle w:val="5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  <w:lang w:val="uk-UA"/>
        </w:rPr>
        <w:t>Основи теорії надійності і техногенний ризик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: практикум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/ уклад.: МікосянчикО. О.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 xml:space="preserve">, КічатаН.М., ЯкимецьІ.В. та ін.– К.:. 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НАУ, 2021– 1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2с.</w:t>
      </w:r>
    </w:p>
    <w:p>
      <w:pPr>
        <w:pStyle w:val="5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Деталі машин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Навчальний посібник / Г.М. Борозенець, В.М. Павлов, І.В. Семак.-К.: Видавничий дім «Кондор», 2021.-220с.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2020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5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pacing w:val="-8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  <w:lang w:val="en-US"/>
        </w:rPr>
        <w:t>Mechanics</w:t>
      </w: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  <w:lang w:val="en-US"/>
        </w:rPr>
        <w:t xml:space="preserve"> Guide to Practical Classes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: практикум </w:t>
      </w:r>
      <w:r>
        <w:rPr>
          <w:rFonts w:hint="default" w:ascii="Times New Roman" w:hAnsi="Times New Roman" w:cs="Times New Roman"/>
          <w:sz w:val="28"/>
          <w:szCs w:val="28"/>
        </w:rPr>
        <w:t>/ уклад.: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BashtaO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., 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NoskoP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., 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Kornienko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А.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O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– K.: NAU, 20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20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en-US"/>
        </w:rPr>
        <w:t>.– 48 p. https://er.nau.edu.ua/handle/NAU/45798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.</w:t>
      </w:r>
    </w:p>
    <w:p>
      <w:pPr>
        <w:pStyle w:val="4"/>
        <w:numPr>
          <w:ilvl w:val="0"/>
          <w:numId w:val="5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Hlk166689339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Процеси та системи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управління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якістю в авіації:</w:t>
      </w:r>
      <w:bookmarkEnd w:id="0"/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навч. посібник / Радько О.В., Мельник В.Б.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– К. : НАУ, 2020.</w:t>
      </w:r>
      <w:r>
        <w:rPr>
          <w:rFonts w:hint="default" w:ascii="Times New Roman" w:hAnsi="Times New Roman" w:cs="Times New Roman"/>
          <w:sz w:val="28"/>
          <w:szCs w:val="28"/>
        </w:rPr>
        <w:t>-192с.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2019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6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pacing w:val="-8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</w:rPr>
        <w:t>Природні та техногенні загрози, оцінювання небезпек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: практикум</w:t>
      </w:r>
      <w:r>
        <w:rPr>
          <w:rFonts w:hint="default" w:ascii="Times New Roman" w:hAnsi="Times New Roman" w:cs="Times New Roman"/>
          <w:sz w:val="28"/>
          <w:szCs w:val="28"/>
        </w:rPr>
        <w:t>/ уклад.: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Синило К.В., Кічата Н.М., Кажан К.І., Мікосянчик О.О. та ін. – К.: НАУ, 2019. – 116с.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  <w:lang w:val="uk-UA"/>
        </w:rPr>
        <w:t>Системний аналіз якості навколишнього середовища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: лабораторний практикум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/ уклад.: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Радомська М.М., Тихенко О.М., Матвєєва І.В., Мікосянчик О.О. – К.: НАУ, 2019. – 76с.</w:t>
      </w:r>
    </w:p>
    <w:p>
      <w:pPr>
        <w:numPr>
          <w:ilvl w:val="0"/>
          <w:numId w:val="6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Прикладна механіка і основи конструювання</w:t>
      </w:r>
      <w:r>
        <w:rPr>
          <w:rFonts w:hint="default" w:ascii="Times New Roman" w:hAnsi="Times New Roman" w:cs="Times New Roman"/>
          <w:sz w:val="28"/>
          <w:szCs w:val="28"/>
        </w:rPr>
        <w:t>: методичні рекомендації до виконання розрахунково-графічної роботи / уклад.: Г.М. Борозенець, І.В. Семак.-К.: НАУ, 2019.- 80с.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Теорія механізмів та машин. Механізми з вищими кінематичними парами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навч. посіб. / А.О. Корнієнко, С.В. Федорчук, О.В. Радько, О.В. Тісов. – К.:НАУ, 2019.–128 с.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Теорія механізмів і машин. Лабораторний практикум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 А.О.Корнієнко, С.В.Федорчук, О.В.Радько, – К.: НАУ, 2019 – 32 с.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color w:val="5B9BD5" w:themeColor="accent1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 Theory of Mechanisms and Machines: Guide to Laboratory Practical Work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A. Kornienko, O. Bashta, O. Tisov. – K. : NAU, 2019. – 36 p.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color w:val="5B9BD5" w:themeColor="accent1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Mechanics. Guide to Practical Classes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>. P.L. Nosko, O.V. Bashta, A.O. Kornienko. – K.: NAU, 2019. – 44 p.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  <w:lang w:val="uk-UA"/>
        </w:rPr>
        <w:t xml:space="preserve">Соціальна та екологічна відповідальність: </w:t>
      </w:r>
      <w:bookmarkStart w:id="1" w:name="_Hlk166689111"/>
      <w:r>
        <w:rPr>
          <w:rFonts w:hint="default" w:ascii="Times New Roman" w:hAnsi="Times New Roman" w:cs="Times New Roman"/>
          <w:b/>
          <w:spacing w:val="-8"/>
          <w:sz w:val="28"/>
          <w:szCs w:val="28"/>
          <w:lang w:val="uk-UA"/>
        </w:rPr>
        <w:t xml:space="preserve">/ </w:t>
      </w:r>
      <w:bookmarkStart w:id="2" w:name="_Hlk166689428"/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практикум / уклад. Мельник В.Б.– К.: НАУ, 2019. – 28 с.</w:t>
      </w:r>
    </w:p>
    <w:bookmarkEnd w:id="1"/>
    <w:bookmarkEnd w:id="2"/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  <w:lang w:val="uk-UA"/>
        </w:rPr>
        <w:t>Менеджмент якості :/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практикум/уклад. Мельник В.Б. – К.: НАУ, 2019.-32 с.</w:t>
      </w:r>
    </w:p>
    <w:p>
      <w:pPr>
        <w:pStyle w:val="5"/>
        <w:numPr>
          <w:ilvl w:val="0"/>
          <w:numId w:val="6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Задачі теоретичної механіки: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навч. посібник/ В.О. Закревський, Г.Г. Голембієвський,  . – К. : НАУ, 2019. – 268 с.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2018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5"/>
        <w:numPr>
          <w:ilvl w:val="0"/>
          <w:numId w:val="7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  <w:lang w:val="uk-UA"/>
        </w:rPr>
        <w:t>Теоретична механіка. Космічна динаміка: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 xml:space="preserve"> навч. посібник/ В.О. Закревський, В.В. Астанін, Г.Г. Голембієвський – К. : НАУ, 2018. – 116 с.</w:t>
      </w:r>
    </w:p>
    <w:p>
      <w:pPr>
        <w:pStyle w:val="5"/>
        <w:numPr>
          <w:ilvl w:val="0"/>
          <w:numId w:val="7"/>
        </w:numPr>
        <w:spacing w:before="0" w:beforeAutospacing="0" w:after="0" w:afterAutospacing="0"/>
        <w:ind w:left="425" w:leftChars="0" w:hanging="425" w:firstLineChars="0"/>
        <w:jc w:val="both"/>
        <w:textAlignment w:val="baseline"/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Процеси та системи управління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якістю в авіації:</w:t>
      </w:r>
      <w:bookmarkStart w:id="3" w:name="_Hlk166689716"/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>практикум / уклад. Радько О.В., Кравцов В.І. – К.: НАУ, 2018. – 56 с.</w:t>
      </w:r>
    </w:p>
    <w:bookmarkEnd w:id="3"/>
    <w:p>
      <w:pPr>
        <w:numPr>
          <w:ilvl w:val="0"/>
          <w:numId w:val="7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8"/>
          <w:sz w:val="28"/>
          <w:szCs w:val="28"/>
        </w:rPr>
        <w:t>Стандартизація продукції та послуг: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практикум / уклад. Радько О.В.,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Науменко</w:t>
      </w:r>
      <w:r>
        <w:rPr>
          <w:rFonts w:hint="default"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Н.О. – К.: НАУ, 2018. – 56 с.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2017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8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Теория механизмов и машин. Механизмы с высшими кинематическими парами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</w:rPr>
        <w:t>: учеб. пособ / А.А. Корниенко, С.В. Федорчук, А. С. Крыжановский, А.В. Тисов. – К. : НАУ, 2017. – 160 с.</w:t>
      </w:r>
    </w:p>
    <w:p>
      <w:pPr>
        <w:numPr>
          <w:ilvl w:val="0"/>
          <w:numId w:val="8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The Theory of Mechanisms and Machines / The Course Paper Method Guide</w:t>
      </w:r>
      <w:r>
        <w:rPr>
          <w:rFonts w:hint="default" w:ascii="Times New Roman" w:hAnsi="Times New Roman" w:cs="Times New Roman"/>
          <w:sz w:val="28"/>
          <w:szCs w:val="28"/>
        </w:rPr>
        <w:t>: методичні вказівки до виконання курсової роботи / уклад.: Kornienko А.O., Bashta O.V.  – K.: NAU, 2017. – 44p.</w:t>
      </w:r>
    </w:p>
    <w:p>
      <w:pPr>
        <w:pStyle w:val="4"/>
        <w:numPr>
          <w:ilvl w:val="0"/>
          <w:numId w:val="8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Strength of materials. </w:t>
      </w:r>
      <w:r>
        <w:rPr>
          <w:rFonts w:hint="default" w:ascii="Times New Roman" w:hAnsi="Times New Roman" w:cs="Times New Roman"/>
          <w:b/>
          <w:sz w:val="28"/>
          <w:szCs w:val="28"/>
        </w:rPr>
        <w:t>Method Guide to Home works for Students of Speciality 142 “Power Machine Building”</w:t>
      </w:r>
      <w:r>
        <w:rPr>
          <w:rFonts w:hint="default" w:ascii="Times New Roman" w:hAnsi="Times New Roman" w:cs="Times New Roman"/>
          <w:sz w:val="28"/>
          <w:szCs w:val="28"/>
        </w:rPr>
        <w:t> : методичні рекомендації / С.Ю. Богдан, О.А. Шевченко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– К.: НАУ, 2017. </w:t>
      </w:r>
      <w:r>
        <w:rPr>
          <w:rFonts w:hint="default" w:ascii="Times New Roman" w:hAnsi="Times New Roman" w:cs="Times New Roman"/>
          <w:sz w:val="28"/>
          <w:szCs w:val="28"/>
        </w:rPr>
        <w:t>– 64 с.</w:t>
      </w:r>
    </w:p>
    <w:p>
      <w:pPr>
        <w:pStyle w:val="4"/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2016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9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Технічна механіка</w:t>
      </w:r>
      <w:r>
        <w:rPr>
          <w:rFonts w:hint="default" w:ascii="Times New Roman" w:hAnsi="Times New Roman" w:cs="Times New Roman"/>
          <w:sz w:val="28"/>
          <w:szCs w:val="28"/>
        </w:rPr>
        <w:t>: методичні рекомендації до виконання розрахунково-графічної роботи / Г.М. Борозенець, І.В. Семак. _К.: НАУ, 2016.-72 с.</w:t>
      </w:r>
    </w:p>
    <w:p>
      <w:pPr>
        <w:pStyle w:val="4"/>
        <w:numPr>
          <w:ilvl w:val="0"/>
          <w:numId w:val="9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Курс лекцій з деталей машин та тестові завдання</w:t>
      </w:r>
      <w:r>
        <w:rPr>
          <w:rFonts w:hint="default" w:ascii="Times New Roman" w:hAnsi="Times New Roman" w:eastAsia="Calibri" w:cs="Times New Roman"/>
          <w:sz w:val="28"/>
          <w:szCs w:val="28"/>
        </w:rPr>
        <w:t>: навч. посібник / М.Ф. Дмитриченко, М.В. Кіндрачук, О.І. Вольченко, В.І. Кравцов та ін. – Івано-Франківськ: «Факел», 2016. – 266с.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2015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10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Конструювання машин та механізмів</w:t>
      </w:r>
      <w:r>
        <w:rPr>
          <w:rFonts w:hint="default" w:ascii="Times New Roman" w:hAnsi="Times New Roman" w:cs="Times New Roman"/>
          <w:sz w:val="28"/>
          <w:szCs w:val="28"/>
        </w:rPr>
        <w:t>: методичні рекомендації і завдання до  курсового проекту /уклад.: В.М. Павлов, Г.М. Борозенець, І.В. Семак.- К.: НАУ, 2015.- 96с.</w:t>
      </w:r>
    </w:p>
    <w:p>
      <w:pPr>
        <w:pStyle w:val="4"/>
        <w:numPr>
          <w:ilvl w:val="0"/>
          <w:numId w:val="10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Machine elements. Course project design manual</w:t>
      </w:r>
      <w:r>
        <w:rPr>
          <w:rFonts w:hint="default" w:ascii="Times New Roman" w:hAnsi="Times New Roman" w:cs="Times New Roman"/>
          <w:sz w:val="28"/>
          <w:szCs w:val="28"/>
        </w:rPr>
        <w:t>:методичні вказівки до виконання курсової роботи / уклад.: Kryzhanovskyi A. S., Bashta O.V., Kornienko A.O. – Kyiv: NAU, 2015. – 124 p.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2014 рік</w:t>
      </w:r>
    </w:p>
    <w:p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numPr>
          <w:ilvl w:val="0"/>
          <w:numId w:val="1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Mechanics. Method guide to doing homework assignment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Bashta O.V., Kornienko A.O., Kryzhanovskyi A.S.  - K.: NAU, 2014. – 48 p.</w:t>
      </w:r>
    </w:p>
    <w:p>
      <w:pPr>
        <w:numPr>
          <w:ilvl w:val="0"/>
          <w:numId w:val="1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Theoretical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mechanics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Textbook.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LadogubetsN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KasjanovV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KarachunV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Mel</w:t>
      </w:r>
      <w:r>
        <w:rPr>
          <w:rFonts w:hint="default" w:ascii="Times New Roman" w:hAnsi="Times New Roman" w:cs="Times New Roman"/>
          <w:sz w:val="28"/>
          <w:szCs w:val="28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nicV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>. – К.: НАУ, 2014. -449 с. Гриф МОН України (Лист за № 1/11-15943 від 22.10.2014 р.).</w:t>
      </w:r>
    </w:p>
    <w:p>
      <w:pPr>
        <w:pStyle w:val="4"/>
        <w:numPr>
          <w:ilvl w:val="0"/>
          <w:numId w:val="1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Педагогічна психологія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/ </w:t>
      </w:r>
      <w:r>
        <w:rPr>
          <w:rFonts w:hint="default" w:ascii="Times New Roman" w:hAnsi="Times New Roman" w:cs="Times New Roman"/>
          <w:sz w:val="28"/>
          <w:szCs w:val="28"/>
        </w:rPr>
        <w:t>Підручник. /М.Б.Євтух, Н.В.Ладогубець, Е.В.Лузік, Т.В.Ільїна/ – К.: Кондор-Видавництво, 2014. – 420 с. Гриф МОН України (Лист за № 1/11-929 від 15.04.2014 р.).</w:t>
      </w:r>
    </w:p>
    <w:sectPr>
      <w:pgSz w:w="11906" w:h="16838"/>
      <w:pgMar w:top="850" w:right="589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CD8D9"/>
    <w:multiLevelType w:val="singleLevel"/>
    <w:tmpl w:val="85CCD8D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abstractNum w:abstractNumId="1">
    <w:nsid w:val="8762C133"/>
    <w:multiLevelType w:val="singleLevel"/>
    <w:tmpl w:val="8762C1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2">
    <w:nsid w:val="9E44E074"/>
    <w:multiLevelType w:val="singleLevel"/>
    <w:tmpl w:val="9E44E07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3">
    <w:nsid w:val="A4E3021A"/>
    <w:multiLevelType w:val="singleLevel"/>
    <w:tmpl w:val="A4E302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abstractNum w:abstractNumId="4">
    <w:nsid w:val="B731A3E4"/>
    <w:multiLevelType w:val="singleLevel"/>
    <w:tmpl w:val="B731A3E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5">
    <w:nsid w:val="BF453F30"/>
    <w:multiLevelType w:val="singleLevel"/>
    <w:tmpl w:val="BF453F3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abstractNum w:abstractNumId="6">
    <w:nsid w:val="CB74A0E9"/>
    <w:multiLevelType w:val="singleLevel"/>
    <w:tmpl w:val="CB74A0E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abstractNum w:abstractNumId="7">
    <w:nsid w:val="E59C3729"/>
    <w:multiLevelType w:val="singleLevel"/>
    <w:tmpl w:val="E59C372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abstractNum w:abstractNumId="8">
    <w:nsid w:val="29D6096E"/>
    <w:multiLevelType w:val="singleLevel"/>
    <w:tmpl w:val="29D6096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9">
    <w:nsid w:val="353CCEDA"/>
    <w:multiLevelType w:val="singleLevel"/>
    <w:tmpl w:val="353CCED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10">
    <w:nsid w:val="3DD997E4"/>
    <w:multiLevelType w:val="singleLevel"/>
    <w:tmpl w:val="3DD997E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color w:val="auto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11CF"/>
    <w:rsid w:val="00004307"/>
    <w:rsid w:val="00190F36"/>
    <w:rsid w:val="001B775E"/>
    <w:rsid w:val="00227BB3"/>
    <w:rsid w:val="002F77DB"/>
    <w:rsid w:val="004F02B4"/>
    <w:rsid w:val="00545D18"/>
    <w:rsid w:val="005854F0"/>
    <w:rsid w:val="00590B2F"/>
    <w:rsid w:val="006304E7"/>
    <w:rsid w:val="0064061F"/>
    <w:rsid w:val="008F1494"/>
    <w:rsid w:val="00A311CF"/>
    <w:rsid w:val="00A70A9F"/>
    <w:rsid w:val="00D03CF8"/>
    <w:rsid w:val="00DA10FC"/>
    <w:rsid w:val="00DF5C9E"/>
    <w:rsid w:val="00E27D02"/>
    <w:rsid w:val="13A04938"/>
    <w:rsid w:val="57AD4B2A"/>
    <w:rsid w:val="5D03216D"/>
    <w:rsid w:val="7A3F6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rvps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6">
    <w:name w:val="list-group-item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3D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1075</Words>
  <Characters>6128</Characters>
  <Lines>51</Lines>
  <Paragraphs>14</Paragraphs>
  <TotalTime>2</TotalTime>
  <ScaleCrop>false</ScaleCrop>
  <LinksUpToDate>false</LinksUpToDate>
  <CharactersWithSpaces>7189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2024-05-14T19:54:00Z</dcterms:created>
  <dc:creator>Користувач</dc:creator>
  <cp:lastModifiedBy>Олександр Башта</cp:lastModifiedBy>
  <dcterms:modified xsi:type="dcterms:W3CDTF">2024-05-28T06:19:43Z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7F320F314F40426FA42D63CE5E01CDEB_12</vt:lpwstr>
  </property>
</Properties>
</file>